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290117"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14</w:t>
      </w:r>
      <w:r w:rsidR="00B13C79">
        <w:rPr>
          <w:rFonts w:ascii="Calibri" w:eastAsia="Times New Roman" w:hAnsi="Calibri"/>
          <w:b/>
          <w:bCs/>
          <w:kern w:val="32"/>
          <w:sz w:val="22"/>
          <w:szCs w:val="22"/>
        </w:rPr>
        <w:t xml:space="preserve">.1 </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6"/>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w:t>
      </w:r>
      <w:r>
        <w:rPr>
          <w:rFonts w:ascii="Calibri" w:hAnsi="Calibri"/>
          <w:color w:val="000000"/>
          <w:sz w:val="22"/>
          <w:szCs w:val="22"/>
        </w:rPr>
        <w:lastRenderedPageBreak/>
        <w:t xml:space="preserve">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stwierdzenia błędów w złożonym wniosku o płatność, IZ RPOWP może dokonać uzupełnienia lub poprawienia wniosku (dotyczy tylko oczywistych omyłek pisarskich i/lub rachunkowych), o czym informuje Beneficjenta lub wzywa Beneficjenta do poprawienia lub </w:t>
      </w:r>
      <w:r w:rsidRPr="00267DF4">
        <w:rPr>
          <w:rFonts w:ascii="Calibri" w:hAnsi="Calibri"/>
          <w:sz w:val="22"/>
          <w:szCs w:val="22"/>
        </w:rPr>
        <w:lastRenderedPageBreak/>
        <w:t>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lastRenderedPageBreak/>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w:t>
      </w:r>
      <w:r w:rsidRPr="00FC702A">
        <w:rPr>
          <w:rFonts w:ascii="Calibri" w:hAnsi="Calibri"/>
          <w:sz w:val="22"/>
          <w:szCs w:val="22"/>
        </w:rPr>
        <w:lastRenderedPageBreak/>
        <w:t xml:space="preserve">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lastRenderedPageBreak/>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lastRenderedPageBreak/>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w:t>
      </w:r>
      <w:r w:rsidRPr="00785CBC">
        <w:rPr>
          <w:rFonts w:ascii="Calibri" w:hAnsi="Calibri"/>
          <w:sz w:val="22"/>
          <w:szCs w:val="22"/>
        </w:rPr>
        <w:lastRenderedPageBreak/>
        <w:t xml:space="preserve">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pkt 2, 3 i </w:t>
      </w:r>
      <w:r w:rsidR="00E000A7">
        <w:rPr>
          <w:rFonts w:ascii="Calibri" w:hAnsi="Calibri"/>
          <w:sz w:val="22"/>
          <w:szCs w:val="22"/>
        </w:rPr>
        <w:t>6</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w:t>
      </w:r>
      <w:r w:rsidRPr="00FC702A">
        <w:rPr>
          <w:rFonts w:ascii="Calibri" w:hAnsi="Calibri"/>
          <w:sz w:val="22"/>
          <w:szCs w:val="22"/>
        </w:rPr>
        <w:lastRenderedPageBreak/>
        <w:t>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lastRenderedPageBreak/>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lastRenderedPageBreak/>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49"/>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F0D" w:rsidRDefault="008F0F0D" w:rsidP="00FE2590">
      <w:r>
        <w:separator/>
      </w:r>
    </w:p>
  </w:endnote>
  <w:endnote w:type="continuationSeparator" w:id="0">
    <w:p w:rsidR="008F0F0D" w:rsidRDefault="008F0F0D"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4566D7" w:rsidRDefault="00DE734C">
    <w:pPr>
      <w:pStyle w:val="Stopka"/>
      <w:jc w:val="right"/>
      <w:rPr>
        <w:rFonts w:ascii="Calibri" w:hAnsi="Calibri"/>
        <w:sz w:val="20"/>
        <w:szCs w:val="20"/>
      </w:rPr>
    </w:pPr>
    <w:r w:rsidRPr="004566D7">
      <w:rPr>
        <w:rFonts w:ascii="Calibri" w:hAnsi="Calibri"/>
        <w:sz w:val="20"/>
        <w:szCs w:val="20"/>
      </w:rPr>
      <w:fldChar w:fldCharType="begin"/>
    </w:r>
    <w:r w:rsidR="003B060E" w:rsidRPr="004566D7">
      <w:rPr>
        <w:rFonts w:ascii="Calibri" w:hAnsi="Calibri"/>
        <w:sz w:val="20"/>
        <w:szCs w:val="20"/>
      </w:rPr>
      <w:instrText>PAGE   \* MERGEFORMAT</w:instrText>
    </w:r>
    <w:r w:rsidRPr="004566D7">
      <w:rPr>
        <w:rFonts w:ascii="Calibri" w:hAnsi="Calibri"/>
        <w:sz w:val="20"/>
        <w:szCs w:val="20"/>
      </w:rPr>
      <w:fldChar w:fldCharType="separate"/>
    </w:r>
    <w:r w:rsidR="00B13C79">
      <w:rPr>
        <w:rFonts w:ascii="Calibri" w:hAnsi="Calibri"/>
        <w:noProof/>
        <w:sz w:val="20"/>
        <w:szCs w:val="20"/>
      </w:rPr>
      <w:t>21</w:t>
    </w:r>
    <w:r w:rsidRPr="004566D7">
      <w:rPr>
        <w:rFonts w:ascii="Calibri" w:hAnsi="Calibri"/>
        <w:sz w:val="20"/>
        <w:szCs w:val="20"/>
      </w:rPr>
      <w:fldChar w:fldCharType="end"/>
    </w:r>
  </w:p>
  <w:p w:rsidR="003B060E" w:rsidRDefault="003B060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Pr="00D42C8B" w:rsidRDefault="00DE734C">
    <w:pPr>
      <w:pStyle w:val="Stopka"/>
      <w:jc w:val="right"/>
      <w:rPr>
        <w:rFonts w:ascii="Calibri" w:hAnsi="Calibri"/>
        <w:sz w:val="20"/>
      </w:rPr>
    </w:pPr>
    <w:r w:rsidRPr="00D42C8B">
      <w:rPr>
        <w:rFonts w:ascii="Calibri" w:hAnsi="Calibri"/>
        <w:sz w:val="20"/>
      </w:rPr>
      <w:fldChar w:fldCharType="begin"/>
    </w:r>
    <w:r w:rsidR="003B060E" w:rsidRPr="00D42C8B">
      <w:rPr>
        <w:rFonts w:ascii="Calibri" w:hAnsi="Calibri"/>
        <w:sz w:val="20"/>
      </w:rPr>
      <w:instrText xml:space="preserve"> PAGE   \* MERGEFORMAT </w:instrText>
    </w:r>
    <w:r w:rsidRPr="00D42C8B">
      <w:rPr>
        <w:rFonts w:ascii="Calibri" w:hAnsi="Calibri"/>
        <w:sz w:val="20"/>
      </w:rPr>
      <w:fldChar w:fldCharType="separate"/>
    </w:r>
    <w:r w:rsidR="00B13C79">
      <w:rPr>
        <w:rFonts w:ascii="Calibri" w:hAnsi="Calibri"/>
        <w:noProof/>
        <w:sz w:val="20"/>
      </w:rPr>
      <w:t>46</w:t>
    </w:r>
    <w:r w:rsidRPr="00D42C8B">
      <w:rPr>
        <w:rFonts w:ascii="Calibri" w:hAnsi="Calibri"/>
        <w:sz w:val="20"/>
      </w:rPr>
      <w:fldChar w:fldCharType="end"/>
    </w:r>
  </w:p>
  <w:p w:rsidR="003B060E" w:rsidRDefault="003B06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F0D" w:rsidRDefault="008F0F0D" w:rsidP="00FE2590">
      <w:r>
        <w:separator/>
      </w:r>
    </w:p>
  </w:footnote>
  <w:footnote w:type="continuationSeparator" w:id="0">
    <w:p w:rsidR="008F0F0D" w:rsidRDefault="008F0F0D" w:rsidP="00FE2590">
      <w:r>
        <w:continuationSeparator/>
      </w:r>
    </w:p>
  </w:footnote>
  <w:footnote w:id="1">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B060E" w:rsidRPr="004E4283" w:rsidRDefault="003B060E">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B060E" w:rsidRPr="00190ABB" w:rsidRDefault="003B060E">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B060E" w:rsidRPr="006B2D66" w:rsidRDefault="003B060E"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9">
    <w:p w:rsidR="003B060E" w:rsidRDefault="003B060E"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0">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3B060E" w:rsidRPr="002679BD" w:rsidRDefault="003B060E"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3B060E" w:rsidRDefault="003B060E"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7">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3B060E" w:rsidRPr="00F50354" w:rsidRDefault="003B060E"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3B060E" w:rsidRPr="002679BD" w:rsidRDefault="003B060E"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1">
    <w:p w:rsidR="003B060E" w:rsidRPr="002679BD" w:rsidRDefault="003B060E"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3B060E" w:rsidRPr="002679BD" w:rsidRDefault="003B060E"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3B060E" w:rsidRPr="003C198D" w:rsidRDefault="003B060E">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3B060E" w:rsidRPr="002679BD" w:rsidRDefault="003B060E"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6">
    <w:p w:rsidR="003B060E" w:rsidRPr="002679BD" w:rsidRDefault="003B060E"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3B060E" w:rsidRDefault="003B060E">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9">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3B060E" w:rsidRPr="002679BD" w:rsidRDefault="003B060E"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3B060E" w:rsidRPr="00657E8A" w:rsidRDefault="003B060E">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3B060E" w:rsidRPr="002679BD" w:rsidRDefault="003B060E"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3B060E" w:rsidRPr="002679BD" w:rsidRDefault="003B060E"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3B060E" w:rsidRPr="002679BD" w:rsidRDefault="003B060E"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3B060E" w:rsidRDefault="003B060E">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3B060E" w:rsidRPr="002679BD" w:rsidRDefault="003B060E"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3B060E" w:rsidRPr="002679BD" w:rsidRDefault="003B060E"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3B060E" w:rsidRPr="002679BD" w:rsidRDefault="003B060E"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3B060E" w:rsidRPr="009067BC"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3B060E" w:rsidRPr="002679BD" w:rsidRDefault="003B060E"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3B060E" w:rsidRPr="002679BD" w:rsidRDefault="003B060E" w:rsidP="009067BC">
      <w:pPr>
        <w:pStyle w:val="Tekstprzypisudolnego"/>
        <w:rPr>
          <w:rFonts w:ascii="Calibri" w:hAnsi="Calibri" w:cs="Arial"/>
          <w:sz w:val="16"/>
          <w:szCs w:val="16"/>
        </w:rPr>
      </w:pPr>
    </w:p>
  </w:footnote>
  <w:footnote w:id="46">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3B060E" w:rsidRPr="002679BD" w:rsidRDefault="003B060E"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3B060E" w:rsidRPr="00F43573" w:rsidRDefault="003B060E"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3B060E" w:rsidRPr="002679BD" w:rsidRDefault="003B060E"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3B060E" w:rsidRPr="002679BD" w:rsidRDefault="003B060E"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3B060E" w:rsidRPr="002679BD" w:rsidRDefault="003B060E"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60E" w:rsidRDefault="003B060E">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0117"/>
    <w:rsid w:val="00291411"/>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8668E"/>
    <w:rsid w:val="004C7FBB"/>
    <w:rsid w:val="004E4283"/>
    <w:rsid w:val="005048DD"/>
    <w:rsid w:val="0051339F"/>
    <w:rsid w:val="00524506"/>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41C5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67819"/>
    <w:rsid w:val="0087312A"/>
    <w:rsid w:val="00881FDD"/>
    <w:rsid w:val="008971E0"/>
    <w:rsid w:val="008D085B"/>
    <w:rsid w:val="008D5812"/>
    <w:rsid w:val="008F0F0D"/>
    <w:rsid w:val="008F4950"/>
    <w:rsid w:val="009067BC"/>
    <w:rsid w:val="0094409C"/>
    <w:rsid w:val="0095724E"/>
    <w:rsid w:val="00973F1D"/>
    <w:rsid w:val="009967A2"/>
    <w:rsid w:val="00996999"/>
    <w:rsid w:val="009D222A"/>
    <w:rsid w:val="00A053E4"/>
    <w:rsid w:val="00A06847"/>
    <w:rsid w:val="00A27468"/>
    <w:rsid w:val="00A31BB7"/>
    <w:rsid w:val="00A533D2"/>
    <w:rsid w:val="00A62EB3"/>
    <w:rsid w:val="00A86AF2"/>
    <w:rsid w:val="00A93A84"/>
    <w:rsid w:val="00B13C79"/>
    <w:rsid w:val="00B43205"/>
    <w:rsid w:val="00B469A4"/>
    <w:rsid w:val="00B646B4"/>
    <w:rsid w:val="00B74AAD"/>
    <w:rsid w:val="00B92411"/>
    <w:rsid w:val="00BA0C1D"/>
    <w:rsid w:val="00BD4127"/>
    <w:rsid w:val="00BF423F"/>
    <w:rsid w:val="00BF59F0"/>
    <w:rsid w:val="00C031E8"/>
    <w:rsid w:val="00C03D5D"/>
    <w:rsid w:val="00C0787B"/>
    <w:rsid w:val="00C97C6A"/>
    <w:rsid w:val="00CA76E2"/>
    <w:rsid w:val="00CE45C4"/>
    <w:rsid w:val="00CF78F9"/>
    <w:rsid w:val="00CF7B60"/>
    <w:rsid w:val="00D040C6"/>
    <w:rsid w:val="00D07BA6"/>
    <w:rsid w:val="00D12449"/>
    <w:rsid w:val="00D13736"/>
    <w:rsid w:val="00D24347"/>
    <w:rsid w:val="00D5765E"/>
    <w:rsid w:val="00D60837"/>
    <w:rsid w:val="00D66AB5"/>
    <w:rsid w:val="00D66D43"/>
    <w:rsid w:val="00D74F86"/>
    <w:rsid w:val="00D816BF"/>
    <w:rsid w:val="00D876ED"/>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B1EAF"/>
    <w:rsid w:val="00EC3DA0"/>
    <w:rsid w:val="00EF2274"/>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AC9C2AB-650A-4D22-B764-6286D53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7543B-9E3B-4EA5-B527-159DAF3B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13554</Words>
  <Characters>81330</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3</cp:revision>
  <cp:lastPrinted>2017-01-20T08:42:00Z</cp:lastPrinted>
  <dcterms:created xsi:type="dcterms:W3CDTF">2017-05-31T10:38:00Z</dcterms:created>
  <dcterms:modified xsi:type="dcterms:W3CDTF">2017-05-31T10:42:00Z</dcterms:modified>
</cp:coreProperties>
</file>