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28D2" w14:textId="77777777" w:rsidR="004F6465" w:rsidRPr="003B3B22" w:rsidRDefault="00C74406" w:rsidP="00F81015">
      <w:pPr>
        <w:pStyle w:val="Podtytu"/>
        <w:spacing w:before="120" w:after="120"/>
        <w:jc w:val="left"/>
        <w:rPr>
          <w:b w:val="0"/>
          <w:sz w:val="24"/>
        </w:rPr>
      </w:pPr>
      <w:bookmarkStart w:id="0" w:name="_GoBack"/>
      <w:bookmarkEnd w:id="0"/>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0765FF3C"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w:t>
      </w:r>
      <w:r w:rsidR="00C50D10">
        <w:t>11 września 2019 r.</w:t>
      </w:r>
      <w:r w:rsidRPr="003B3B22">
        <w:t xml:space="preserve"> Prawo zamówień publicznych</w:t>
      </w:r>
      <w:r w:rsidR="00FC5188">
        <w:t xml:space="preserve"> </w:t>
      </w:r>
      <w:r w:rsidR="00252B49" w:rsidRPr="003A10FB">
        <w:t>zwanej dalej „ustawą Pzp</w:t>
      </w:r>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lastRenderedPageBreak/>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 xml:space="preserve">tj. w przypadku gdy ostatecznym </w:t>
      </w:r>
      <w:r w:rsidRPr="00B6126C">
        <w:rPr>
          <w:i/>
          <w:iCs/>
          <w:color w:val="000000"/>
        </w:rPr>
        <w:lastRenderedPageBreak/>
        <w:t>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cross-financingu</w:t>
      </w:r>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w:t>
      </w:r>
      <w:r w:rsidRPr="003B3B22">
        <w:lastRenderedPageBreak/>
        <w:t xml:space="preserve">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w:t>
      </w:r>
      <w:r w:rsidRPr="00673E38">
        <w:lastRenderedPageBreak/>
        <w:t>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w:t>
      </w:r>
      <w:r w:rsidR="009E457E">
        <w:rPr>
          <w:lang w:eastAsia="en-US"/>
        </w:rPr>
        <w:lastRenderedPageBreak/>
        <w:t>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lastRenderedPageBreak/>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 xml:space="preserve">generowaniu dochodu. W przypadku uzyskania w fazie inwestycyjnej dochodu pochodzącego ze źródeł nieuwzględnionych przy sporządzaniu analizy finansowej na potrzeby ustalenia poziomu dofinansowania danego Projektu, Beneficjent zobowiązany </w:t>
      </w:r>
      <w:r>
        <w:rPr>
          <w:rFonts w:ascii="Times New Roman" w:eastAsiaTheme="minorHAnsi" w:hAnsi="Times New Roman" w:cs="Times New Roman"/>
          <w:color w:val="auto"/>
          <w:lang w:eastAsia="en-US"/>
        </w:rPr>
        <w:lastRenderedPageBreak/>
        <w:t>jest do dokonania ponownej rekalkulacji luki, nie później niż przed zatwierdzeniem wniosku o płatność końcową. Jeżeli wskaźnik luki ex-ante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ex-ante,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(wykazany w studium wykonalności) jest wyższy od nowego wskaźnika, następuje zwrot dofinansowania w wysokości odpowiadającej różnicy pomiędzy wysokością dotacji obliczoną ex-ante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lastRenderedPageBreak/>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 xml:space="preserve">Środki przekazane w formie zaliczki, mogą być wykorzystane za pisemną zgodą IZ RPOWP, na pokrycie wydatków kwalifikowalnych określonych w Projekcie, a poniesionych przez </w:t>
      </w:r>
      <w:r w:rsidRPr="003B3B22">
        <w:lastRenderedPageBreak/>
        <w:t>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F547E9">
      <w:pPr>
        <w:pStyle w:val="Akapitzlist"/>
        <w:numPr>
          <w:ilvl w:val="0"/>
          <w:numId w:val="39"/>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lastRenderedPageBreak/>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 xml:space="preserve">Umową przy realizacji Projektu, IZ RPOWP potwierdzi bezcelowość dalszej realizacji Projektu, realizację Projektu uznaje się za </w:t>
      </w:r>
      <w:r w:rsidRPr="000E0324">
        <w:lastRenderedPageBreak/>
        <w:t>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w przypadku gdy wymóg ich stosowania wynika z ustawy Pzp.</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Beneficjent udzielający zamówień, do których nie stosuje się ustawy Pzp,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lastRenderedPageBreak/>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1A5472F3"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w:t>
      </w:r>
      <w:r w:rsidR="00C50D10">
        <w:t>613</w:t>
      </w:r>
      <w:r w:rsidRPr="003B3B22">
        <w:t xml:space="preserve"> ust. 2 pkt 1) lub pkt 2) </w:t>
      </w:r>
      <w:r w:rsidR="009A2D17">
        <w:t>u</w:t>
      </w:r>
      <w:r w:rsidR="00E97581">
        <w:t>stawy Pzp</w:t>
      </w:r>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 xml:space="preserve">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w:t>
      </w:r>
      <w:r w:rsidRPr="003B3B22">
        <w:rPr>
          <w:rFonts w:ascii="Times New Roman" w:hAnsi="Times New Roman" w:cs="Times New Roman"/>
          <w:color w:val="auto"/>
        </w:rPr>
        <w:lastRenderedPageBreak/>
        <w:t>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lastRenderedPageBreak/>
        <w:t>Beneficjent zapewnia, że osoby, o których mowa w ust. 4, wykorzystują profil zaufany ePUAP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W przypadku gdy z powodów technicznych wykorzystanie profilu zaufanego ePUAP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lastRenderedPageBreak/>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lastRenderedPageBreak/>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rsidP="00F547E9">
      <w:pPr>
        <w:pStyle w:val="Akapitzlist"/>
        <w:numPr>
          <w:ilvl w:val="6"/>
          <w:numId w:val="40"/>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w:t>
      </w:r>
      <w:r w:rsidRPr="007E09D6">
        <w:rPr>
          <w:rFonts w:ascii="Times New Roman" w:hAnsi="Times New Roman" w:cs="Times New Roman"/>
          <w:i/>
          <w:color w:val="auto"/>
        </w:rPr>
        <w:lastRenderedPageBreak/>
        <w:t xml:space="preserve">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 xml:space="preserve">Beneficjent jest zobowiązany przekazywać do IZ RPOWP w terminie 7 dni od dnia ich otrzymania kopie informacji pokontrolnych oraz zaleceń pokontrolnych lub innych dokumentów spełniających </w:t>
      </w:r>
      <w:r w:rsidRPr="00896804">
        <w:lastRenderedPageBreak/>
        <w:t>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W przypadku, gdy w wyniku przeprowadzonego postępowania o udzielenie zamówienia publicznego wartość poszczególnych kategorii wydatków objętych danym postępowaniem jest </w:t>
      </w:r>
      <w:r w:rsidRPr="00896804">
        <w:lastRenderedPageBreak/>
        <w:t>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lastRenderedPageBreak/>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W przypadku jednostronnego rozwiązania Umowy przez IZ RPOWP bez zachowania okresu wypowiedzenia, Beneficjent jest zobowiązany do zwrotu otrzymanego dofinansowania wraz </w:t>
      </w:r>
      <w:r w:rsidRPr="00896804">
        <w:lastRenderedPageBreak/>
        <w:t>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lastRenderedPageBreak/>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lastRenderedPageBreak/>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 xml:space="preserve">zwaną/ym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F547E9">
      <w:pPr>
        <w:widowControl w:val="0"/>
        <w:numPr>
          <w:ilvl w:val="0"/>
          <w:numId w:val="37"/>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F547E9">
      <w:pPr>
        <w:numPr>
          <w:ilvl w:val="0"/>
          <w:numId w:val="37"/>
        </w:numPr>
        <w:suppressAutoHyphens/>
        <w:spacing w:after="200"/>
        <w:ind w:left="426"/>
        <w:contextualSpacing/>
        <w:jc w:val="both"/>
      </w:pPr>
      <w:r w:rsidRPr="00CF64BC">
        <w:t>IZ RPOWP oświadcza, że:</w:t>
      </w:r>
    </w:p>
    <w:p w14:paraId="0204B2EB" w14:textId="19AB4F0D" w:rsidR="00CF64BC" w:rsidRPr="005D6A67" w:rsidRDefault="00CF64BC" w:rsidP="00F547E9">
      <w:pPr>
        <w:numPr>
          <w:ilvl w:val="0"/>
          <w:numId w:val="71"/>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F547E9">
      <w:pPr>
        <w:numPr>
          <w:ilvl w:val="0"/>
          <w:numId w:val="71"/>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F547E9">
      <w:pPr>
        <w:numPr>
          <w:ilvl w:val="0"/>
          <w:numId w:val="37"/>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tym samym Zarząd Województwa został umocowany do dalszego powierzania Beneficjentom </w:t>
      </w:r>
      <w:r w:rsidRPr="00CF64BC">
        <w:lastRenderedPageBreak/>
        <w:t>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rsidP="00F547E9">
      <w:pPr>
        <w:numPr>
          <w:ilvl w:val="1"/>
          <w:numId w:val="57"/>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F547E9">
      <w:pPr>
        <w:pStyle w:val="Bezodstpw"/>
        <w:numPr>
          <w:ilvl w:val="0"/>
          <w:numId w:val="68"/>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F547E9">
      <w:pPr>
        <w:pStyle w:val="Bezodstpw"/>
        <w:numPr>
          <w:ilvl w:val="0"/>
          <w:numId w:val="68"/>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rsidP="00F547E9">
      <w:pPr>
        <w:numPr>
          <w:ilvl w:val="0"/>
          <w:numId w:val="5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F547E9">
      <w:pPr>
        <w:pStyle w:val="Bezodstpw"/>
        <w:numPr>
          <w:ilvl w:val="0"/>
          <w:numId w:val="5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F547E9">
      <w:pPr>
        <w:pStyle w:val="Bezodstpw"/>
        <w:numPr>
          <w:ilvl w:val="0"/>
          <w:numId w:val="5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F547E9">
      <w:pPr>
        <w:pStyle w:val="Bezodstpw"/>
        <w:numPr>
          <w:ilvl w:val="0"/>
          <w:numId w:val="5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F547E9">
      <w:pPr>
        <w:pStyle w:val="Bezodstpw"/>
        <w:numPr>
          <w:ilvl w:val="0"/>
          <w:numId w:val="5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F547E9">
      <w:pPr>
        <w:pStyle w:val="Bezodstpw"/>
        <w:numPr>
          <w:ilvl w:val="0"/>
          <w:numId w:val="66"/>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F547E9">
      <w:pPr>
        <w:pStyle w:val="Bezodstpw"/>
        <w:numPr>
          <w:ilvl w:val="0"/>
          <w:numId w:val="66"/>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F547E9">
      <w:pPr>
        <w:pStyle w:val="Bezodstpw"/>
        <w:numPr>
          <w:ilvl w:val="0"/>
          <w:numId w:val="66"/>
        </w:numPr>
        <w:jc w:val="both"/>
        <w:rPr>
          <w:lang w:eastAsia="zh-CN"/>
        </w:rPr>
      </w:pPr>
      <w:r w:rsidRPr="007E49DC">
        <w:rPr>
          <w:lang w:eastAsia="zh-CN"/>
        </w:rPr>
        <w:t>Beneficjent zobowiązuje podmiot, o którym mowa w ust. 1 do:</w:t>
      </w:r>
    </w:p>
    <w:p w14:paraId="11302343" w14:textId="0A3B65B7" w:rsidR="00AD677F" w:rsidRPr="007E49DC" w:rsidRDefault="00AD677F" w:rsidP="00F547E9">
      <w:pPr>
        <w:pStyle w:val="Bezodstpw"/>
        <w:numPr>
          <w:ilvl w:val="1"/>
          <w:numId w:val="67"/>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F547E9">
      <w:pPr>
        <w:pStyle w:val="Bezodstpw"/>
        <w:numPr>
          <w:ilvl w:val="1"/>
          <w:numId w:val="67"/>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F547E9">
      <w:pPr>
        <w:pStyle w:val="Bezodstpw"/>
        <w:numPr>
          <w:ilvl w:val="1"/>
          <w:numId w:val="67"/>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F547E9">
      <w:pPr>
        <w:pStyle w:val="Bezodstpw"/>
        <w:numPr>
          <w:ilvl w:val="0"/>
          <w:numId w:val="66"/>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lastRenderedPageBreak/>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rsidP="00F547E9">
      <w:pPr>
        <w:numPr>
          <w:ilvl w:val="0"/>
          <w:numId w:val="6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F547E9">
      <w:pPr>
        <w:pStyle w:val="Bezodstpw"/>
        <w:numPr>
          <w:ilvl w:val="0"/>
          <w:numId w:val="69"/>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F547E9">
      <w:pPr>
        <w:pStyle w:val="Bezodstpw"/>
        <w:numPr>
          <w:ilvl w:val="0"/>
          <w:numId w:val="69"/>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F547E9">
      <w:pPr>
        <w:pStyle w:val="Bezodstpw"/>
        <w:numPr>
          <w:ilvl w:val="0"/>
          <w:numId w:val="69"/>
        </w:numPr>
        <w:jc w:val="both"/>
        <w:rPr>
          <w:rFonts w:eastAsia="Calibri"/>
        </w:rPr>
      </w:pPr>
      <w:r w:rsidRPr="007E49DC">
        <w:rPr>
          <w:rFonts w:eastAsia="Calibri"/>
        </w:rPr>
        <w:lastRenderedPageBreak/>
        <w:t>Integralną część Porozumienia stanowią:</w:t>
      </w:r>
    </w:p>
    <w:p w14:paraId="0FAEDD92" w14:textId="69B57DF0" w:rsidR="00D46CE2" w:rsidRPr="007E49DC" w:rsidRDefault="00D46CE2" w:rsidP="00F547E9">
      <w:pPr>
        <w:pStyle w:val="Bezodstpw"/>
        <w:numPr>
          <w:ilvl w:val="0"/>
          <w:numId w:val="70"/>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F547E9">
      <w:pPr>
        <w:pStyle w:val="Bezodstpw"/>
        <w:numPr>
          <w:ilvl w:val="0"/>
          <w:numId w:val="70"/>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F547E9">
      <w:pPr>
        <w:pStyle w:val="Bezodstpw"/>
        <w:numPr>
          <w:ilvl w:val="0"/>
          <w:numId w:val="70"/>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F547E9">
      <w:pPr>
        <w:pStyle w:val="Bezodstpw"/>
        <w:numPr>
          <w:ilvl w:val="0"/>
          <w:numId w:val="70"/>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F547E9">
      <w:pPr>
        <w:pStyle w:val="Bezodstpw"/>
        <w:numPr>
          <w:ilvl w:val="0"/>
          <w:numId w:val="70"/>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F547E9">
      <w:pPr>
        <w:pStyle w:val="Bezodstpw"/>
        <w:numPr>
          <w:ilvl w:val="0"/>
          <w:numId w:val="70"/>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rsidP="00F547E9">
      <w:pPr>
        <w:numPr>
          <w:ilvl w:val="0"/>
          <w:numId w:val="54"/>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F547E9">
      <w:pPr>
        <w:numPr>
          <w:ilvl w:val="1"/>
          <w:numId w:val="53"/>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F547E9">
      <w:pPr>
        <w:numPr>
          <w:ilvl w:val="1"/>
          <w:numId w:val="53"/>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F547E9">
      <w:pPr>
        <w:numPr>
          <w:ilvl w:val="1"/>
          <w:numId w:val="53"/>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rsidP="00F547E9">
      <w:pPr>
        <w:numPr>
          <w:ilvl w:val="1"/>
          <w:numId w:val="53"/>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rsidP="00F547E9">
      <w:pPr>
        <w:numPr>
          <w:ilvl w:val="1"/>
          <w:numId w:val="53"/>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rsidP="00F547E9">
      <w:pPr>
        <w:pStyle w:val="Akapitzlist"/>
        <w:numPr>
          <w:ilvl w:val="0"/>
          <w:numId w:val="42"/>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rsidP="00F547E9">
      <w:pPr>
        <w:pStyle w:val="Akapitzlist"/>
        <w:numPr>
          <w:ilvl w:val="0"/>
          <w:numId w:val="42"/>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rsidP="00F547E9">
      <w:pPr>
        <w:pStyle w:val="Akapitzlist"/>
        <w:numPr>
          <w:ilvl w:val="0"/>
          <w:numId w:val="42"/>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rsidP="00F547E9">
      <w:pPr>
        <w:pStyle w:val="Akapitzlist"/>
        <w:numPr>
          <w:ilvl w:val="0"/>
          <w:numId w:val="43"/>
        </w:numPr>
        <w:spacing w:after="160"/>
        <w:jc w:val="both"/>
        <w:rPr>
          <w:bCs/>
        </w:rPr>
      </w:pPr>
      <w:r w:rsidRPr="006F3F97">
        <w:rPr>
          <w:bCs/>
        </w:rPr>
        <w:t>Zadanie nr ………………………………………,</w:t>
      </w:r>
    </w:p>
    <w:p w14:paraId="4740A75A" w14:textId="77777777" w:rsidR="006F3F97" w:rsidRPr="006F3F97" w:rsidRDefault="006F3F97" w:rsidP="00F547E9">
      <w:pPr>
        <w:pStyle w:val="Akapitzlist"/>
        <w:numPr>
          <w:ilvl w:val="0"/>
          <w:numId w:val="43"/>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rsidP="00F547E9">
      <w:pPr>
        <w:pStyle w:val="Akapitzlist"/>
        <w:numPr>
          <w:ilvl w:val="0"/>
          <w:numId w:val="42"/>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rsidP="00F547E9">
      <w:pPr>
        <w:pStyle w:val="Akapitzlist"/>
        <w:numPr>
          <w:ilvl w:val="0"/>
          <w:numId w:val="44"/>
        </w:numPr>
        <w:spacing w:after="160"/>
        <w:jc w:val="both"/>
        <w:rPr>
          <w:bCs/>
        </w:rPr>
      </w:pPr>
      <w:r w:rsidRPr="006F3F97">
        <w:rPr>
          <w:bCs/>
        </w:rPr>
        <w:t>W przypadku nieruchomości odpowiednio:</w:t>
      </w:r>
    </w:p>
    <w:p w14:paraId="2CA16901" w14:textId="77777777" w:rsidR="006F3F97" w:rsidRPr="006F3F97" w:rsidRDefault="006F3F97" w:rsidP="00F547E9">
      <w:pPr>
        <w:pStyle w:val="Akapitzlist"/>
        <w:numPr>
          <w:ilvl w:val="0"/>
          <w:numId w:val="46"/>
        </w:numPr>
        <w:spacing w:after="160"/>
        <w:rPr>
          <w:bCs/>
        </w:rPr>
      </w:pPr>
      <w:r w:rsidRPr="006F3F97">
        <w:rPr>
          <w:bCs/>
        </w:rPr>
        <w:t>[oznaczenie] – [długość okresu amortyzacji w latach];</w:t>
      </w:r>
    </w:p>
    <w:p w14:paraId="474625E0" w14:textId="77777777" w:rsidR="006F3F97" w:rsidRPr="006F3F97" w:rsidRDefault="006F3F97" w:rsidP="00F547E9">
      <w:pPr>
        <w:pStyle w:val="Akapitzlist"/>
        <w:numPr>
          <w:ilvl w:val="0"/>
          <w:numId w:val="46"/>
        </w:numPr>
        <w:spacing w:after="160"/>
        <w:jc w:val="both"/>
      </w:pPr>
      <w:r w:rsidRPr="006F3F97">
        <w:t>[oznaczenie] – [długość okresu amortyzacji w latach].</w:t>
      </w:r>
    </w:p>
    <w:p w14:paraId="6927EC65" w14:textId="77777777" w:rsidR="006F3F97" w:rsidRPr="006F3F97" w:rsidRDefault="006F3F97" w:rsidP="00F547E9">
      <w:pPr>
        <w:pStyle w:val="Akapitzlist"/>
        <w:numPr>
          <w:ilvl w:val="0"/>
          <w:numId w:val="44"/>
        </w:numPr>
        <w:spacing w:after="160"/>
        <w:jc w:val="both"/>
        <w:rPr>
          <w:bCs/>
        </w:rPr>
      </w:pPr>
      <w:r w:rsidRPr="006F3F97">
        <w:rPr>
          <w:bCs/>
        </w:rPr>
        <w:t>W przypadku zakupu aparatury badawczej odpowiednio:</w:t>
      </w:r>
    </w:p>
    <w:p w14:paraId="3BA4DFB8"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3F276771"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rsidP="00F547E9">
      <w:pPr>
        <w:pStyle w:val="Akapitzlist"/>
        <w:numPr>
          <w:ilvl w:val="0"/>
          <w:numId w:val="42"/>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rsidP="00F547E9">
      <w:pPr>
        <w:pStyle w:val="Akapitzlist"/>
        <w:numPr>
          <w:ilvl w:val="0"/>
          <w:numId w:val="42"/>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rsidP="00F547E9">
      <w:pPr>
        <w:pStyle w:val="Akapitzlist"/>
        <w:numPr>
          <w:ilvl w:val="0"/>
          <w:numId w:val="42"/>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rsidP="00F547E9">
      <w:pPr>
        <w:pStyle w:val="Akapitzlist"/>
        <w:numPr>
          <w:ilvl w:val="0"/>
          <w:numId w:val="45"/>
        </w:numPr>
        <w:spacing w:after="160"/>
        <w:ind w:firstLine="273"/>
      </w:pPr>
      <w:r w:rsidRPr="006F3F97">
        <w:t>[oznaczenie] – wskaźnik powierzchni/wydajności infrastruktury;</w:t>
      </w:r>
    </w:p>
    <w:p w14:paraId="2037CBDF" w14:textId="6CD34CAA" w:rsidR="006F3F97" w:rsidRPr="006F3F97" w:rsidRDefault="006F3F97" w:rsidP="00F547E9">
      <w:pPr>
        <w:pStyle w:val="Akapitzlist"/>
        <w:numPr>
          <w:ilvl w:val="0"/>
          <w:numId w:val="45"/>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rsidP="00F547E9">
      <w:pPr>
        <w:pStyle w:val="Akapitzlist"/>
        <w:numPr>
          <w:ilvl w:val="0"/>
          <w:numId w:val="42"/>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rsidP="00F547E9">
      <w:pPr>
        <w:pStyle w:val="Akapitzlist"/>
        <w:numPr>
          <w:ilvl w:val="0"/>
          <w:numId w:val="42"/>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rsidP="00F547E9">
      <w:pPr>
        <w:pStyle w:val="Akapitzlist"/>
        <w:numPr>
          <w:ilvl w:val="0"/>
          <w:numId w:val="42"/>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rsidP="00F547E9">
      <w:pPr>
        <w:numPr>
          <w:ilvl w:val="1"/>
          <w:numId w:val="41"/>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rsidP="00F547E9">
      <w:pPr>
        <w:numPr>
          <w:ilvl w:val="1"/>
          <w:numId w:val="41"/>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rsidP="00F547E9">
      <w:pPr>
        <w:pStyle w:val="Akapitzlist"/>
        <w:numPr>
          <w:ilvl w:val="0"/>
          <w:numId w:val="42"/>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rsidP="00F547E9">
      <w:pPr>
        <w:pStyle w:val="Akapitzlist"/>
        <w:numPr>
          <w:ilvl w:val="0"/>
          <w:numId w:val="42"/>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rsidP="00F547E9">
      <w:pPr>
        <w:pStyle w:val="Akapitzlist"/>
        <w:numPr>
          <w:ilvl w:val="0"/>
          <w:numId w:val="42"/>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rsidP="00F547E9">
      <w:pPr>
        <w:pStyle w:val="Akapitzlist"/>
        <w:numPr>
          <w:ilvl w:val="0"/>
          <w:numId w:val="42"/>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rsidP="00F547E9">
      <w:pPr>
        <w:pStyle w:val="Akapitzlist"/>
        <w:numPr>
          <w:ilvl w:val="0"/>
          <w:numId w:val="42"/>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rsidP="00F547E9">
      <w:pPr>
        <w:pStyle w:val="Akapitzlist"/>
        <w:numPr>
          <w:ilvl w:val="0"/>
          <w:numId w:val="42"/>
        </w:numPr>
        <w:jc w:val="both"/>
      </w:pPr>
      <w:r w:rsidRPr="006F3F97">
        <w:lastRenderedPageBreak/>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rsidP="00F547E9">
      <w:pPr>
        <w:pStyle w:val="Akapitzlist"/>
        <w:numPr>
          <w:ilvl w:val="0"/>
          <w:numId w:val="52"/>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rsidP="00F547E9">
      <w:pPr>
        <w:pStyle w:val="Akapitzlist"/>
        <w:numPr>
          <w:ilvl w:val="0"/>
          <w:numId w:val="52"/>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rsidP="00F547E9">
      <w:pPr>
        <w:pStyle w:val="Akapitzlist"/>
        <w:numPr>
          <w:ilvl w:val="0"/>
          <w:numId w:val="52"/>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rsidP="00F547E9">
      <w:pPr>
        <w:pStyle w:val="Akapitzlist"/>
        <w:numPr>
          <w:ilvl w:val="0"/>
          <w:numId w:val="52"/>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rsidP="00F547E9">
      <w:pPr>
        <w:pStyle w:val="Akapitzlist"/>
        <w:numPr>
          <w:ilvl w:val="0"/>
          <w:numId w:val="52"/>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rsidP="00F547E9">
      <w:pPr>
        <w:pStyle w:val="Akapitzlist"/>
        <w:numPr>
          <w:ilvl w:val="0"/>
          <w:numId w:val="52"/>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30C545AA"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rsidP="00F547E9">
      <w:pPr>
        <w:pStyle w:val="Akapitzlist"/>
        <w:numPr>
          <w:ilvl w:val="0"/>
          <w:numId w:val="52"/>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rsidP="00F547E9">
      <w:pPr>
        <w:pStyle w:val="Akapitzlist"/>
        <w:numPr>
          <w:ilvl w:val="0"/>
          <w:numId w:val="52"/>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p>
    <w:p w14:paraId="49653A0B"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rsidP="00F547E9">
      <w:pPr>
        <w:pStyle w:val="Akapitzlist"/>
        <w:numPr>
          <w:ilvl w:val="0"/>
          <w:numId w:val="52"/>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rsidP="00F547E9">
      <w:pPr>
        <w:pStyle w:val="Akapitzlist"/>
        <w:numPr>
          <w:ilvl w:val="0"/>
          <w:numId w:val="50"/>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rsidP="00F547E9">
      <w:pPr>
        <w:pStyle w:val="Akapitzlist"/>
        <w:numPr>
          <w:ilvl w:val="0"/>
          <w:numId w:val="50"/>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w:t>
      </w:r>
      <w:r w:rsidRPr="006F3F97">
        <w:lastRenderedPageBreak/>
        <w:t xml:space="preserve">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rsidP="00F547E9">
      <w:pPr>
        <w:pStyle w:val="Akapitzlist"/>
        <w:numPr>
          <w:ilvl w:val="0"/>
          <w:numId w:val="52"/>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rsidP="00F547E9">
      <w:pPr>
        <w:pStyle w:val="Akapitzlist"/>
        <w:numPr>
          <w:ilvl w:val="0"/>
          <w:numId w:val="52"/>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rsidP="00F547E9">
      <w:pPr>
        <w:pStyle w:val="Akapitzlist"/>
        <w:numPr>
          <w:ilvl w:val="0"/>
          <w:numId w:val="52"/>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rsidP="00F547E9">
      <w:pPr>
        <w:pStyle w:val="Akapitzlist"/>
        <w:numPr>
          <w:ilvl w:val="0"/>
          <w:numId w:val="51"/>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rsidP="00F547E9">
      <w:pPr>
        <w:pStyle w:val="Akapitzlist"/>
        <w:numPr>
          <w:ilvl w:val="0"/>
          <w:numId w:val="51"/>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rsidP="00F547E9">
      <w:pPr>
        <w:pStyle w:val="Akapitzlist"/>
        <w:numPr>
          <w:ilvl w:val="0"/>
          <w:numId w:val="52"/>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lastRenderedPageBreak/>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rsidP="00F547E9">
      <w:pPr>
        <w:pStyle w:val="Akapitzlist"/>
        <w:numPr>
          <w:ilvl w:val="0"/>
          <w:numId w:val="52"/>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rsidP="00F547E9">
      <w:pPr>
        <w:pStyle w:val="Akapitzlist"/>
        <w:numPr>
          <w:ilvl w:val="0"/>
          <w:numId w:val="52"/>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rsidP="00F547E9">
      <w:pPr>
        <w:pStyle w:val="Akapitzlist"/>
        <w:numPr>
          <w:ilvl w:val="0"/>
          <w:numId w:val="52"/>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rsidP="00F547E9">
      <w:pPr>
        <w:pStyle w:val="Akapitzlist"/>
        <w:numPr>
          <w:ilvl w:val="0"/>
          <w:numId w:val="52"/>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rsidP="00F547E9">
      <w:pPr>
        <w:pStyle w:val="Akapitzlist"/>
        <w:numPr>
          <w:ilvl w:val="0"/>
          <w:numId w:val="52"/>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rsidP="00F547E9">
      <w:pPr>
        <w:pStyle w:val="Akapitzlist"/>
        <w:numPr>
          <w:ilvl w:val="0"/>
          <w:numId w:val="52"/>
        </w:numPr>
        <w:spacing w:after="160"/>
        <w:jc w:val="both"/>
      </w:pPr>
      <w:r w:rsidRPr="00FB39F4">
        <w:t xml:space="preserve">Nieuwzględniona we wniosku o dofinansowanie działalność komercyjna wymaga aktualizacji analizy finansowej w zakresie wskaźnika luki w finansowaniu dla projektu (jeśli dotyczy). Jeżeli </w:t>
      </w:r>
      <w:r w:rsidRPr="00FB39F4">
        <w:lastRenderedPageBreak/>
        <w:t>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F547E9">
      <w:pPr>
        <w:numPr>
          <w:ilvl w:val="0"/>
          <w:numId w:val="64"/>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F547E9">
      <w:pPr>
        <w:numPr>
          <w:ilvl w:val="0"/>
          <w:numId w:val="64"/>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F547E9">
      <w:pPr>
        <w:numPr>
          <w:ilvl w:val="0"/>
          <w:numId w:val="64"/>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F547E9">
      <w:pPr>
        <w:numPr>
          <w:ilvl w:val="0"/>
          <w:numId w:val="64"/>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F547E9">
      <w:pPr>
        <w:numPr>
          <w:ilvl w:val="0"/>
          <w:numId w:val="64"/>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F547E9">
      <w:pPr>
        <w:numPr>
          <w:ilvl w:val="0"/>
          <w:numId w:val="64"/>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F547E9">
      <w:pPr>
        <w:numPr>
          <w:ilvl w:val="0"/>
          <w:numId w:val="64"/>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F547E9">
      <w:pPr>
        <w:numPr>
          <w:ilvl w:val="0"/>
          <w:numId w:val="64"/>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swap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F547E9">
      <w:pPr>
        <w:numPr>
          <w:ilvl w:val="0"/>
          <w:numId w:val="64"/>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F547E9">
      <w:pPr>
        <w:numPr>
          <w:ilvl w:val="0"/>
          <w:numId w:val="64"/>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F547E9">
      <w:pPr>
        <w:numPr>
          <w:ilvl w:val="0"/>
          <w:numId w:val="64"/>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0E494D41" w14:textId="11DD488C" w:rsidR="00DA49C4" w:rsidRDefault="00DA49C4" w:rsidP="00952A36">
      <w:pPr>
        <w:pStyle w:val="Akapitzlist"/>
        <w:numPr>
          <w:ilvl w:val="0"/>
          <w:numId w:val="65"/>
        </w:numPr>
        <w:spacing w:before="120" w:after="120"/>
        <w:ind w:left="426" w:hanging="356"/>
        <w:jc w:val="both"/>
      </w:pPr>
      <w:r>
        <w:t xml:space="preserve">Przekazanie dofinansowania na zasadach określonych w § 8 nastąpi po stwierdzeniu przez Instytucję Zarządzającą RPOWP spełnienia warunków kryterium </w:t>
      </w:r>
      <w:r w:rsidRPr="00AD139A">
        <w:rPr>
          <w:i/>
          <w:iCs/>
        </w:rPr>
        <w:t>Wykonalność techniczna projektu</w:t>
      </w:r>
      <w:r>
        <w:t>:</w:t>
      </w:r>
    </w:p>
    <w:p w14:paraId="2D255DA7" w14:textId="77777777" w:rsidR="00DA49C4" w:rsidRDefault="00DA49C4" w:rsidP="00DA49C4">
      <w:pPr>
        <w:pStyle w:val="Akapitzlist"/>
        <w:numPr>
          <w:ilvl w:val="0"/>
          <w:numId w:val="73"/>
        </w:numPr>
        <w:spacing w:before="120" w:after="120"/>
        <w:jc w:val="both"/>
      </w:pPr>
      <w:r>
        <w:t xml:space="preserve">nr 2 Prawa własności i pozwolenia, </w:t>
      </w:r>
    </w:p>
    <w:p w14:paraId="0D869B80" w14:textId="7134CACB" w:rsidR="00DA49C4" w:rsidRDefault="00DA49C4" w:rsidP="00DA49C4">
      <w:pPr>
        <w:pStyle w:val="Akapitzlist"/>
        <w:numPr>
          <w:ilvl w:val="0"/>
          <w:numId w:val="73"/>
        </w:numPr>
        <w:spacing w:before="120" w:after="120"/>
        <w:contextualSpacing w:val="0"/>
        <w:jc w:val="both"/>
      </w:pPr>
      <w:r>
        <w:t>nr 4 Kwestie środowiskowe.</w:t>
      </w:r>
    </w:p>
    <w:p w14:paraId="00082A16" w14:textId="1154C6D5" w:rsidR="00DA49C4" w:rsidRPr="006B34CC" w:rsidRDefault="00DA49C4" w:rsidP="00DA49C4">
      <w:pPr>
        <w:pStyle w:val="Akapitzlist"/>
        <w:numPr>
          <w:ilvl w:val="0"/>
          <w:numId w:val="65"/>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w:t>
      </w:r>
      <w:r w:rsidRPr="006B34CC">
        <w:t xml:space="preserve">realizację Projektu do weryfikacji przez Instytucję </w:t>
      </w:r>
      <w:r w:rsidR="00AD139A" w:rsidRPr="006B34CC">
        <w:t>Zarządzając</w:t>
      </w:r>
      <w:r w:rsidR="00AD139A">
        <w:t>ą</w:t>
      </w:r>
      <w:r w:rsidRPr="006B34CC">
        <w:t xml:space="preserve"> RPOWP w terminie 7 dni od daty otrzymania ostatniego z ww. dokumentów.</w:t>
      </w:r>
    </w:p>
    <w:p w14:paraId="233ABB78" w14:textId="1772BC73" w:rsidR="00DA49C4" w:rsidRDefault="00DA49C4" w:rsidP="00E07C23">
      <w:pPr>
        <w:pStyle w:val="Akapitzlist"/>
        <w:numPr>
          <w:ilvl w:val="0"/>
          <w:numId w:val="65"/>
        </w:numPr>
        <w:autoSpaceDE w:val="0"/>
        <w:autoSpaceDN w:val="0"/>
        <w:adjustRightInd w:val="0"/>
        <w:spacing w:before="120" w:after="120"/>
        <w:ind w:left="426"/>
        <w:contextualSpacing w:val="0"/>
        <w:jc w:val="both"/>
      </w:pPr>
      <w:r w:rsidRPr="006B34CC">
        <w:t xml:space="preserve">Instytucja Zarządzająca RPOWP, po </w:t>
      </w:r>
      <w:r w:rsidR="00FC1D79" w:rsidRPr="00017935">
        <w:t>otrzyman</w:t>
      </w:r>
      <w:r w:rsidR="00FC1D79" w:rsidRPr="00E07C23">
        <w:t>iu</w:t>
      </w:r>
      <w:r w:rsidR="00FC1D79" w:rsidRPr="00A96FD9">
        <w:t xml:space="preserve"> dokumentów</w:t>
      </w:r>
      <w:r w:rsidRPr="006B34CC">
        <w:t xml:space="preserve">, o których mowa w pkt 2 dokonuje ich weryfikacji </w:t>
      </w:r>
      <w:r w:rsidR="00FC1D79" w:rsidRPr="00E07C23">
        <w:t>zgodnie z warunkami wskazanymi w pkt 1</w:t>
      </w:r>
      <w:r w:rsidR="00FC1D79" w:rsidRPr="00A96FD9">
        <w:t>, a</w:t>
      </w:r>
      <w:r w:rsidR="00F464EE">
        <w:t xml:space="preserve"> </w:t>
      </w:r>
      <w:r w:rsidR="00FC1D79" w:rsidRPr="00E07C23">
        <w:t xml:space="preserve">w razie konieczności </w:t>
      </w:r>
      <w:r w:rsidR="00FC1D79" w:rsidRPr="00017935">
        <w:t xml:space="preserve">może wydać zalecenia dotyczące </w:t>
      </w:r>
      <w:r w:rsidR="00FC1D79" w:rsidRPr="00E07C23">
        <w:t xml:space="preserve">ich </w:t>
      </w:r>
      <w:r w:rsidR="00FC1D79" w:rsidRPr="00A96FD9">
        <w:t>poprawy</w:t>
      </w:r>
      <w:r w:rsidR="00FC1D79" w:rsidRPr="00E07C23">
        <w:t>.</w:t>
      </w:r>
      <w:r w:rsidR="00FC1D79" w:rsidRPr="00A96FD9">
        <w:t xml:space="preserve"> </w:t>
      </w:r>
      <w:r w:rsidR="00FC1D79" w:rsidDel="004C2CC3">
        <w:t xml:space="preserve"> </w:t>
      </w:r>
      <w:r>
        <w:t xml:space="preserve"> </w:t>
      </w:r>
    </w:p>
    <w:p w14:paraId="1C0ADE1F" w14:textId="27B452DB" w:rsidR="00E07C23" w:rsidRDefault="00424C94" w:rsidP="00DA49C4">
      <w:pPr>
        <w:pStyle w:val="Akapitzlist"/>
        <w:numPr>
          <w:ilvl w:val="0"/>
          <w:numId w:val="65"/>
        </w:numPr>
        <w:spacing w:before="120" w:after="120"/>
        <w:ind w:left="426"/>
        <w:contextualSpacing w:val="0"/>
        <w:jc w:val="both"/>
      </w:pPr>
      <w:r>
        <w:t xml:space="preserve">W przypadku, gdy w projekcie realizowanym w formule zaprojektuj i wybuduj Beneficjent wydzieli kilka etapów prac, a dla każdego z nich możliwe jest przeprowadzenie oddzielnego postępowania odnośnie uzyskania niezbędnych pozwoleń na ich realizację oraz oddzielne potwierdzenie spełnienia warunków kryterium </w:t>
      </w:r>
      <w:r w:rsidRPr="00E07C23">
        <w:rPr>
          <w:i/>
          <w:iCs/>
        </w:rPr>
        <w:t>Wykonalności technicznej projektu</w:t>
      </w:r>
      <w:r>
        <w:t>, dopuszcza się możliwość częściowego rozliczania kosztów projektów tj. przekazywania środków w ramach składanych częściowych wniosków o płatność po weryfikacji przez IZ RPOWP dokumentacji projektowej wraz z niezbędnymi pozwoleniami z danej części projektu. Warunkiem przekazania ostatniej płatności w ramach projektu będzie stwierdzenie przez Instytucję Zarządzającą, że projekt wykonano w całości tj. że wszystkie zakładane etapy projektu zostały wykonane</w:t>
      </w:r>
      <w:r w:rsidR="00B51019">
        <w:t>.</w:t>
      </w:r>
    </w:p>
    <w:p w14:paraId="1F36A351" w14:textId="3D395B78" w:rsidR="00DA49C4" w:rsidRDefault="00B51019" w:rsidP="00DA49C4">
      <w:pPr>
        <w:pStyle w:val="Akapitzlist"/>
        <w:numPr>
          <w:ilvl w:val="0"/>
          <w:numId w:val="65"/>
        </w:numPr>
        <w:spacing w:before="120" w:after="120"/>
        <w:ind w:left="426"/>
        <w:contextualSpacing w:val="0"/>
        <w:jc w:val="both"/>
      </w:pPr>
      <w:r>
        <w:t xml:space="preserve">Potwierdzenie </w:t>
      </w:r>
      <w:r w:rsidR="00DA49C4">
        <w:t xml:space="preserve">spełnienia ww. warunków kryterium </w:t>
      </w:r>
      <w:r w:rsidR="00DA49C4" w:rsidRPr="00061A4E">
        <w:rPr>
          <w:i/>
        </w:rPr>
        <w:t>Wykonalność techniczna projektu</w:t>
      </w:r>
      <w:r w:rsidR="00DA49C4" w:rsidDel="00374F76">
        <w:t xml:space="preserve"> </w:t>
      </w:r>
      <w:r w:rsidR="00DA49C4">
        <w:t>Beneficjent otrzymuje na piśmie</w:t>
      </w:r>
      <w:r w:rsidR="00DA49C4" w:rsidRPr="00F049D3">
        <w:t>.</w:t>
      </w:r>
    </w:p>
    <w:p w14:paraId="25705026" w14:textId="294D752C" w:rsidR="00DA49C4" w:rsidRDefault="00DA49C4" w:rsidP="00952A36">
      <w:pPr>
        <w:pStyle w:val="Akapitzlist"/>
        <w:numPr>
          <w:ilvl w:val="0"/>
          <w:numId w:val="65"/>
        </w:numPr>
        <w:spacing w:before="120" w:after="120"/>
        <w:ind w:left="434" w:hanging="392"/>
        <w:contextualSpacing w:val="0"/>
        <w:jc w:val="both"/>
      </w:pPr>
      <w:r>
        <w:t xml:space="preserve">Stwierdzenie przez Instytucję Zarządzającą RPOWP niespełnienia ww. warunków kryterium </w:t>
      </w:r>
      <w:r w:rsidRPr="00061A4E">
        <w:rPr>
          <w:i/>
        </w:rPr>
        <w:t>Wykonalność techniczna projektu</w:t>
      </w:r>
      <w:r>
        <w:rPr>
          <w:i/>
        </w:rPr>
        <w:t>,</w:t>
      </w:r>
      <w:r w:rsidDel="002D59A2">
        <w:t xml:space="preserve"> </w:t>
      </w:r>
      <w:r>
        <w:t xml:space="preserve">a także brak możliwości wdrożenia zaleceń w celu ich spełnienia w terminie określonym przez Instytucję Zarządzającą RPOWP, powoduje rozwiązanie umowy na zasadach określonych </w:t>
      </w:r>
      <w:r w:rsidRPr="005B772C">
        <w:t>w § 2</w:t>
      </w:r>
      <w:r>
        <w:t>2.</w:t>
      </w:r>
    </w:p>
    <w:p w14:paraId="640D045D" w14:textId="20A25583" w:rsidR="00E539C0" w:rsidRPr="006F3F97" w:rsidRDefault="00E539C0" w:rsidP="002369DF">
      <w:pPr>
        <w:tabs>
          <w:tab w:val="left" w:pos="7035"/>
        </w:tabs>
      </w:pP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CED36" w14:textId="77777777" w:rsidR="00FF77C7" w:rsidRDefault="00FF77C7" w:rsidP="0050422B">
      <w:r>
        <w:separator/>
      </w:r>
    </w:p>
    <w:p w14:paraId="7B84F89F" w14:textId="77777777" w:rsidR="00FF77C7" w:rsidRDefault="00FF77C7"/>
    <w:p w14:paraId="3742DAF5" w14:textId="77777777" w:rsidR="00FF77C7" w:rsidRDefault="00FF77C7"/>
  </w:endnote>
  <w:endnote w:type="continuationSeparator" w:id="0">
    <w:p w14:paraId="396E47A1" w14:textId="77777777" w:rsidR="00FF77C7" w:rsidRDefault="00FF77C7" w:rsidP="0050422B">
      <w:r>
        <w:continuationSeparator/>
      </w:r>
    </w:p>
    <w:p w14:paraId="56BEB165" w14:textId="77777777" w:rsidR="00FF77C7" w:rsidRDefault="00FF77C7"/>
    <w:p w14:paraId="6CA85B96" w14:textId="77777777" w:rsidR="00FF77C7" w:rsidRDefault="00FF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DE7E8E">
          <w:rPr>
            <w:noProof/>
            <w:sz w:val="22"/>
          </w:rPr>
          <w:t>- 2 -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CAB3F" w14:textId="77777777" w:rsidR="00FF77C7" w:rsidRDefault="00FF77C7" w:rsidP="0050422B">
      <w:r>
        <w:separator/>
      </w:r>
    </w:p>
    <w:p w14:paraId="10927DA9" w14:textId="77777777" w:rsidR="00FF77C7" w:rsidRDefault="00FF77C7"/>
    <w:p w14:paraId="5EEB73D7" w14:textId="77777777" w:rsidR="00FF77C7" w:rsidRDefault="00FF77C7"/>
  </w:footnote>
  <w:footnote w:type="continuationSeparator" w:id="0">
    <w:p w14:paraId="553BF22B" w14:textId="77777777" w:rsidR="00FF77C7" w:rsidRDefault="00FF77C7" w:rsidP="0050422B">
      <w:r>
        <w:continuationSeparator/>
      </w:r>
    </w:p>
    <w:p w14:paraId="77C63DB3" w14:textId="77777777" w:rsidR="00FF77C7" w:rsidRDefault="00FF77C7"/>
    <w:p w14:paraId="0B39F351" w14:textId="77777777" w:rsidR="00FF77C7" w:rsidRDefault="00FF77C7"/>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MNiSW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J.w</w:t>
      </w:r>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7"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0"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0A96051"/>
    <w:multiLevelType w:val="hybridMultilevel"/>
    <w:tmpl w:val="A040418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4"/>
  </w:num>
  <w:num w:numId="3">
    <w:abstractNumId w:val="25"/>
  </w:num>
  <w:num w:numId="4">
    <w:abstractNumId w:val="17"/>
  </w:num>
  <w:num w:numId="5">
    <w:abstractNumId w:val="44"/>
  </w:num>
  <w:num w:numId="6">
    <w:abstractNumId w:val="2"/>
  </w:num>
  <w:num w:numId="7">
    <w:abstractNumId w:val="64"/>
  </w:num>
  <w:num w:numId="8">
    <w:abstractNumId w:val="67"/>
  </w:num>
  <w:num w:numId="9">
    <w:abstractNumId w:val="43"/>
  </w:num>
  <w:num w:numId="10">
    <w:abstractNumId w:val="10"/>
  </w:num>
  <w:num w:numId="11">
    <w:abstractNumId w:val="35"/>
  </w:num>
  <w:num w:numId="12">
    <w:abstractNumId w:val="16"/>
  </w:num>
  <w:num w:numId="13">
    <w:abstractNumId w:val="46"/>
  </w:num>
  <w:num w:numId="14">
    <w:abstractNumId w:val="15"/>
  </w:num>
  <w:num w:numId="15">
    <w:abstractNumId w:val="34"/>
  </w:num>
  <w:num w:numId="16">
    <w:abstractNumId w:val="0"/>
  </w:num>
  <w:num w:numId="17">
    <w:abstractNumId w:val="58"/>
  </w:num>
  <w:num w:numId="18">
    <w:abstractNumId w:val="68"/>
  </w:num>
  <w:num w:numId="19">
    <w:abstractNumId w:val="63"/>
  </w:num>
  <w:num w:numId="20">
    <w:abstractNumId w:val="26"/>
  </w:num>
  <w:num w:numId="21">
    <w:abstractNumId w:val="55"/>
  </w:num>
  <w:num w:numId="22">
    <w:abstractNumId w:val="4"/>
  </w:num>
  <w:num w:numId="23">
    <w:abstractNumId w:val="37"/>
  </w:num>
  <w:num w:numId="24">
    <w:abstractNumId w:val="32"/>
  </w:num>
  <w:num w:numId="25">
    <w:abstractNumId w:val="28"/>
  </w:num>
  <w:num w:numId="26">
    <w:abstractNumId w:val="53"/>
  </w:num>
  <w:num w:numId="27">
    <w:abstractNumId w:val="6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0"/>
  </w:num>
  <w:num w:numId="33">
    <w:abstractNumId w:val="18"/>
  </w:num>
  <w:num w:numId="34">
    <w:abstractNumId w:val="48"/>
  </w:num>
  <w:num w:numId="35">
    <w:abstractNumId w:val="71"/>
  </w:num>
  <w:num w:numId="36">
    <w:abstractNumId w:val="5"/>
  </w:num>
  <w:num w:numId="37">
    <w:abstractNumId w:val="36"/>
  </w:num>
  <w:num w:numId="38">
    <w:abstractNumId w:val="50"/>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9"/>
  </w:num>
  <w:num w:numId="43">
    <w:abstractNumId w:val="51"/>
  </w:num>
  <w:num w:numId="44">
    <w:abstractNumId w:val="59"/>
  </w:num>
  <w:num w:numId="45">
    <w:abstractNumId w:val="9"/>
  </w:num>
  <w:num w:numId="46">
    <w:abstractNumId w:val="22"/>
  </w:num>
  <w:num w:numId="47">
    <w:abstractNumId w:val="70"/>
  </w:num>
  <w:num w:numId="48">
    <w:abstractNumId w:val="1"/>
  </w:num>
  <w:num w:numId="49">
    <w:abstractNumId w:val="61"/>
  </w:num>
  <w:num w:numId="50">
    <w:abstractNumId w:val="47"/>
  </w:num>
  <w:num w:numId="51">
    <w:abstractNumId w:val="13"/>
  </w:num>
  <w:num w:numId="52">
    <w:abstractNumId w:val="19"/>
  </w:num>
  <w:num w:numId="53">
    <w:abstractNumId w:val="3"/>
  </w:num>
  <w:num w:numId="54">
    <w:abstractNumId w:val="62"/>
  </w:num>
  <w:num w:numId="55">
    <w:abstractNumId w:val="8"/>
  </w:num>
  <w:num w:numId="56">
    <w:abstractNumId w:val="65"/>
  </w:num>
  <w:num w:numId="57">
    <w:abstractNumId w:val="39"/>
  </w:num>
  <w:num w:numId="58">
    <w:abstractNumId w:val="54"/>
  </w:num>
  <w:num w:numId="59">
    <w:abstractNumId w:val="42"/>
  </w:num>
  <w:num w:numId="60">
    <w:abstractNumId w:val="57"/>
  </w:num>
  <w:num w:numId="61">
    <w:abstractNumId w:val="41"/>
  </w:num>
  <w:num w:numId="62">
    <w:abstractNumId w:val="33"/>
  </w:num>
  <w:num w:numId="63">
    <w:abstractNumId w:val="56"/>
  </w:num>
  <w:num w:numId="64">
    <w:abstractNumId w:val="45"/>
  </w:num>
  <w:num w:numId="65">
    <w:abstractNumId w:val="24"/>
  </w:num>
  <w:num w:numId="66">
    <w:abstractNumId w:val="66"/>
  </w:num>
  <w:num w:numId="67">
    <w:abstractNumId w:val="52"/>
  </w:num>
  <w:num w:numId="68">
    <w:abstractNumId w:val="40"/>
  </w:num>
  <w:num w:numId="69">
    <w:abstractNumId w:val="27"/>
  </w:num>
  <w:num w:numId="70">
    <w:abstractNumId w:val="20"/>
  </w:num>
  <w:num w:numId="71">
    <w:abstractNumId w:val="12"/>
  </w:num>
  <w:num w:numId="72">
    <w:abstractNumId w:val="38"/>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58EA"/>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4C94"/>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110C"/>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A0983"/>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43B06"/>
    <w:rsid w:val="00944AB6"/>
    <w:rsid w:val="00952A3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6F90"/>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139A"/>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019"/>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0D10"/>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CF735A"/>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A49C4"/>
    <w:rsid w:val="00DB5258"/>
    <w:rsid w:val="00DC1CDB"/>
    <w:rsid w:val="00DC5D1A"/>
    <w:rsid w:val="00DC66C5"/>
    <w:rsid w:val="00DD14A2"/>
    <w:rsid w:val="00DD1F0A"/>
    <w:rsid w:val="00DD5FE6"/>
    <w:rsid w:val="00DE0BD8"/>
    <w:rsid w:val="00DE3F48"/>
    <w:rsid w:val="00DE6882"/>
    <w:rsid w:val="00DE7E8E"/>
    <w:rsid w:val="00DF001B"/>
    <w:rsid w:val="00DF2223"/>
    <w:rsid w:val="00DF62E2"/>
    <w:rsid w:val="00E0065F"/>
    <w:rsid w:val="00E00A40"/>
    <w:rsid w:val="00E03CC0"/>
    <w:rsid w:val="00E04316"/>
    <w:rsid w:val="00E0478A"/>
    <w:rsid w:val="00E07C23"/>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5BA"/>
    <w:rsid w:val="00E807D9"/>
    <w:rsid w:val="00E816D5"/>
    <w:rsid w:val="00E86BC3"/>
    <w:rsid w:val="00E87D25"/>
    <w:rsid w:val="00E91165"/>
    <w:rsid w:val="00E97581"/>
    <w:rsid w:val="00EA0528"/>
    <w:rsid w:val="00EA4747"/>
    <w:rsid w:val="00EB0BE5"/>
    <w:rsid w:val="00EB0F50"/>
    <w:rsid w:val="00EB5D46"/>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0F4D"/>
    <w:rsid w:val="00F43442"/>
    <w:rsid w:val="00F448F0"/>
    <w:rsid w:val="00F45B7F"/>
    <w:rsid w:val="00F45FBE"/>
    <w:rsid w:val="00F460F3"/>
    <w:rsid w:val="00F464EE"/>
    <w:rsid w:val="00F46B89"/>
    <w:rsid w:val="00F52D2D"/>
    <w:rsid w:val="00F547E9"/>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1D79"/>
    <w:rsid w:val="00FC4A0A"/>
    <w:rsid w:val="00FC5188"/>
    <w:rsid w:val="00FC7FB9"/>
    <w:rsid w:val="00FD609C"/>
    <w:rsid w:val="00FE310E"/>
    <w:rsid w:val="00FF0841"/>
    <w:rsid w:val="00FF0B51"/>
    <w:rsid w:val="00FF122A"/>
    <w:rsid w:val="00FF14FB"/>
    <w:rsid w:val="00FF4D7A"/>
    <w:rsid w:val="00FF77C7"/>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76AD"/>
  <w15:docId w15:val="{61E3014B-A203-4F42-9B88-0062335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56E8-51A5-4B6A-94DE-2E87CEEE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19346</Words>
  <Characters>116082</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Iwona</cp:lastModifiedBy>
  <cp:revision>3</cp:revision>
  <cp:lastPrinted>2019-04-16T11:45:00Z</cp:lastPrinted>
  <dcterms:created xsi:type="dcterms:W3CDTF">2022-08-10T07:46:00Z</dcterms:created>
  <dcterms:modified xsi:type="dcterms:W3CDTF">2022-08-10T07:46:00Z</dcterms:modified>
</cp:coreProperties>
</file>